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40"/>
        <w:ind/>
        <w:rPr/>
      </w:pPr>
      <w:r>
        <w:rPr>
          <w:b/>
          <w:bCs/>
          <w:color w:val="1fb8b8"/>
          <w:sz w:val="44"/>
          <w:szCs w:val="44"/>
        </w:rPr>
        <w:t xml:space="preserve">iNDUST</w:t>
      </w:r>
      <w:r>
        <w:rPr>
          <w:b/>
          <w:bCs/>
          <w:color w:val="1a1a1a"/>
          <w:sz w:val="44"/>
          <w:szCs w:val="44"/>
        </w:rPr>
        <w:t xml:space="preserve">REAL</w:t>
      </w:r>
      <w:r/>
    </w:p>
    <w:p>
      <w:pPr>
        <w:pBdr/>
        <w:spacing w:after="200"/>
        <w:ind/>
        <w:rPr/>
      </w:pPr>
      <w:r>
        <w:rPr>
          <w:color w:val="1fb8b8"/>
          <w:sz w:val="18"/>
          <w:szCs w:val="18"/>
        </w:rPr>
        <w:t xml:space="preserve">COMPLEX  IN  </w:t>
      </w:r>
      <w:r>
        <w:rPr>
          <w:b/>
          <w:bCs/>
          <w:color w:val="1fb8b8"/>
          <w:sz w:val="18"/>
          <w:szCs w:val="18"/>
        </w:rPr>
        <w:t xml:space="preserve">MOTION</w:t>
      </w:r>
      <w:r/>
    </w:p>
    <w:p>
      <w:pPr>
        <w:pBdr/>
        <w:spacing w:after="60"/>
        <w:ind/>
        <w:rPr/>
      </w:pPr>
      <w:r>
        <w:rPr>
          <w:b/>
          <w:bCs/>
          <w:color w:val="1fb8b8"/>
          <w:sz w:val="40"/>
          <w:szCs w:val="40"/>
        </w:rPr>
        <w:t xml:space="preserve">DATASHEET</w:t>
      </w:r>
      <w:r/>
    </w:p>
    <w:p>
      <w:pPr>
        <w:pBdr/>
        <w:spacing w:after="40"/>
        <w:ind/>
        <w:rPr/>
      </w:pPr>
      <w:r>
        <w:rPr>
          <w:b/>
          <w:bCs/>
          <w:color w:val="1a1a1a"/>
          <w:sz w:val="30"/>
          <w:szCs w:val="30"/>
        </w:rPr>
        <w:t xml:space="preserve">iNDUSTREAL.VCU</w:t>
      </w:r>
      <w:r/>
    </w:p>
    <w:p>
      <w:pPr>
        <w:pBdr/>
        <w:spacing w:after="200"/>
        <w:ind/>
        <w:rPr/>
      </w:pPr>
      <w:r>
        <w:rPr>
          <w:color w:val="555555"/>
          <w:sz w:val="20"/>
          <w:szCs w:val="20"/>
        </w:rPr>
        <w:t xml:space="preserve">VEHICLE CONTROL UNIT — NVIDIA Jetson AGX Orin</w:t>
      </w:r>
      <w:r/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400"/>
        <w:gridCol w:w="6960"/>
      </w:tblGrid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4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Datasheet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9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IR.VCU-V0.7</w:t>
            </w:r>
            <w:r/>
          </w:p>
        </w:tc>
      </w:tr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4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Type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9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iREAL.VCU.ORIN</w:t>
            </w:r>
            <w:r/>
          </w:p>
        </w:tc>
      </w:tr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4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Board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9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industREAL.VCU.V1</w:t>
            </w:r>
            <w:r/>
          </w:p>
        </w:tc>
      </w:tr>
    </w:tbl>
    <w:p>
      <w:pPr>
        <w:pBdr>
          <w:bottom w:val="single" w:color="1fb8b8" w:sz="6" w:space="2"/>
        </w:pBdr>
        <w:spacing w:after="140" w:before="280"/>
        <w:ind/>
        <w:rPr/>
      </w:pPr>
      <w:r>
        <w:rPr>
          <w:b/>
          <w:bCs/>
          <w:color w:val="1a1a1a"/>
          <w:sz w:val="26"/>
          <w:szCs w:val="26"/>
        </w:rPr>
        <w:t xml:space="preserve">INTRODUCTION</w:t>
      </w:r>
      <w:r/>
    </w:p>
    <w:p>
      <w:pPr>
        <w:pBdr/>
        <w:spacing w:after="120"/>
        <w:ind/>
        <w:jc w:val="both"/>
        <w:rPr/>
      </w:pPr>
      <w:r>
        <w:rPr>
          <w:sz w:val="20"/>
          <w:szCs w:val="20"/>
        </w:rPr>
        <w:t xml:space="preserve">The iNDUSTREAL.VCU is a ruggedized vehicle control unit built around the NVI</w:t>
      </w:r>
      <w:r>
        <w:rPr>
          <w:sz w:val="20"/>
          <w:szCs w:val="20"/>
        </w:rPr>
        <w:t xml:space="preserve">DIA Jetson AGX Orin module for mission-critical edge-AI computing, autonomy and real-time vehicle control. It pairs the Orin's GPU/DLA AI compute with a dedicated STM32H5 safety co-processor, a hardware TPM 2.0 root of trust, and automotive I/O set.</w:t>
      </w:r>
      <w:r/>
    </w:p>
    <w:p>
      <w:pPr>
        <w:pBdr/>
        <w:spacing w:after="120"/>
        <w:ind/>
        <w:jc w:val="both"/>
        <w:rPr/>
      </w:pPr>
      <w:r>
        <w:rPr>
          <w:sz w:val="20"/>
          <w:szCs w:val="20"/>
        </w:rPr>
        <w:t xml:space="preserve">It provides dual CAN-FD, dual RS-485, an on-board 6-port Gigabit Ethernet switch, MIPI-CSI / GMSL2 camera input, USB 3.0, HDMI, and protected analog and digital I/O on a single automotive connector. A wide-range power front</w:t>
      </w:r>
      <w:r>
        <w:rPr>
          <w:sz w:val="20"/>
          <w:szCs w:val="20"/>
        </w:rPr>
        <w:t xml:space="preserve">-end with load-dump and reverse-polarity protection (ISO 7637 / LV 124) keeps the unit alive through harsh vehicle transients. The system ships with a full Linux BSP (NVIDIA JetPack / L4T) with board-specific device tree, pinmux and flashing configuration.</w:t>
      </w:r>
      <w:r/>
    </w:p>
    <w:p>
      <w:pPr>
        <w:pBdr>
          <w:bottom w:val="single" w:color="1fb8b8" w:sz="6" w:space="2"/>
        </w:pBdr>
        <w:spacing w:after="140" w:before="280"/>
        <w:ind/>
        <w:rPr/>
      </w:pPr>
      <w:r>
        <w:rPr>
          <w:b/>
          <w:bCs/>
          <w:color w:val="1a1a1a"/>
          <w:sz w:val="26"/>
          <w:szCs w:val="26"/>
        </w:rPr>
        <w:t xml:space="preserve">APPLICATION EXAMPLES</w:t>
      </w:r>
      <w:r/>
    </w:p>
    <w:p>
      <w:pPr>
        <w:pStyle w:val="899"/>
        <w:numPr>
          <w:ilvl w:val="0"/>
          <w:numId w:val="2"/>
        </w:numPr>
        <w:pBdr/>
        <w:spacing w:after="40"/>
        <w:ind/>
        <w:rPr/>
      </w:pPr>
      <w:r>
        <w:rPr>
          <w:sz w:val="20"/>
          <w:szCs w:val="20"/>
        </w:rPr>
        <w:t xml:space="preserve">Automotive / Off-highway: autonomous vehicle controller, ADAS sensor fusion</w:t>
      </w:r>
      <w:r/>
    </w:p>
    <w:p>
      <w:pPr>
        <w:pStyle w:val="899"/>
        <w:numPr>
          <w:ilvl w:val="0"/>
          <w:numId w:val="2"/>
        </w:numPr>
        <w:pBdr/>
        <w:spacing w:after="40"/>
        <w:ind/>
        <w:rPr/>
      </w:pPr>
      <w:r>
        <w:rPr>
          <w:sz w:val="20"/>
          <w:szCs w:val="20"/>
        </w:rPr>
        <w:t xml:space="preserve">Robotics: mobile-robot and AMR central compute with vision</w:t>
      </w:r>
      <w:r/>
    </w:p>
    <w:p>
      <w:pPr>
        <w:pStyle w:val="899"/>
        <w:numPr>
          <w:ilvl w:val="0"/>
          <w:numId w:val="2"/>
        </w:numPr>
        <w:pBdr/>
        <w:spacing w:after="40"/>
        <w:ind/>
        <w:rPr/>
      </w:pPr>
      <w:r>
        <w:rPr>
          <w:sz w:val="20"/>
          <w:szCs w:val="20"/>
        </w:rPr>
        <w:t xml:space="preserve">Industrial: machine vision, edge-AI inference, data logging</w:t>
      </w:r>
      <w:r/>
    </w:p>
    <w:p>
      <w:pPr>
        <w:pStyle w:val="899"/>
        <w:numPr>
          <w:ilvl w:val="0"/>
          <w:numId w:val="2"/>
        </w:numPr>
        <w:pBdr/>
        <w:spacing w:after="40"/>
        <w:ind/>
        <w:rPr/>
      </w:pPr>
      <w:r>
        <w:rPr>
          <w:sz w:val="20"/>
          <w:szCs w:val="20"/>
        </w:rPr>
        <w:t xml:space="preserve">Defense / Transportation: rugged edge compute with camera and bus connectivity</w:t>
      </w:r>
      <w:r/>
    </w:p>
    <w:p>
      <w:pPr>
        <w:pBdr>
          <w:bottom w:val="single" w:color="1fb8b8" w:sz="6" w:space="2"/>
        </w:pBdr>
        <w:spacing w:after="140" w:before="280"/>
        <w:ind/>
        <w:rPr/>
      </w:pPr>
      <w:r>
        <w:rPr>
          <w:b/>
          <w:bCs/>
          <w:color w:val="1a1a1a"/>
          <w:sz w:val="26"/>
          <w:szCs w:val="26"/>
        </w:rPr>
        <w:t xml:space="preserve">COMPUTE UNIT</w:t>
      </w:r>
      <w:r/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00"/>
        <w:gridCol w:w="6360"/>
      </w:tblGrid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Module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NVIDIA Jetson AGX Orin SOM (P3701)</w:t>
            </w:r>
            <w:r/>
          </w:p>
        </w:tc>
      </w:tr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Variants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32 GB (P3701-0004) / 64 GB (P3701-0005); Industrial option</w:t>
            </w:r>
            <w:r/>
          </w:p>
        </w:tc>
      </w:tr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Memory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256-bit LPDDR5x (32 GB / 64 GB)</w:t>
            </w:r>
            <w:r/>
          </w:p>
        </w:tc>
      </w:tr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GPU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NVIDIA Ampere, up to 2048 CUDA cores + 64 Tensor cores</w:t>
            </w:r>
            <w:r/>
          </w:p>
        </w:tc>
      </w:tr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CPU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Up to 12-core Arm Cortex-A78AE</w:t>
            </w:r>
            <w:r/>
          </w:p>
        </w:tc>
      </w:tr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AI performance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Up to 275 TOPS (64 GB module)</w:t>
            </w:r>
            <w:r/>
          </w:p>
        </w:tc>
      </w:tr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DL accelerators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2× NVDLA</w:t>
            </w:r>
            <w:r/>
          </w:p>
        </w:tc>
      </w:tr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Operating system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Linux for Tegra (Ubuntu 20.04 / 22.04), JetPack 5.x / 6.x</w:t>
            </w:r>
            <w:r/>
          </w:p>
        </w:tc>
      </w:tr>
    </w:tbl>
    <w:p>
      <w:pPr>
        <w:pBdr>
          <w:bottom w:val="single" w:color="1fb8b8" w:sz="6" w:space="2"/>
        </w:pBdr>
        <w:spacing w:after="140" w:before="280"/>
        <w:ind/>
        <w:rPr/>
      </w:pPr>
      <w:r>
        <w:rPr>
          <w:b/>
          <w:bCs/>
          <w:color w:val="1a1a1a"/>
          <w:sz w:val="26"/>
          <w:szCs w:val="26"/>
        </w:rPr>
        <w:t xml:space="preserve">SAFETY &amp; SECURITY CO-PROCESSORS</w:t>
      </w:r>
      <w:r/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000"/>
        <w:gridCol w:w="2600"/>
        <w:gridCol w:w="1700"/>
        <w:gridCol w:w="3060"/>
      </w:tblGrid>
      <w:tr>
        <w:trPr>
          <w:tblHeader/>
        </w:trPr>
        <w:tc>
          <w:tcPr>
            <w:shd w:val="clear" w:color="auto" w:fill="1fb8b8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Block</w:t>
            </w:r>
            <w:r/>
          </w:p>
        </w:tc>
        <w:tc>
          <w:tcPr>
            <w:shd w:val="clear" w:color="auto" w:fill="1fb8b8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6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Device</w:t>
            </w:r>
            <w:r/>
          </w:p>
        </w:tc>
        <w:tc>
          <w:tcPr>
            <w:shd w:val="clear" w:color="auto" w:fill="1fb8b8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17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Interface</w:t>
            </w:r>
            <w:r/>
          </w:p>
        </w:tc>
        <w:tc>
          <w:tcPr>
            <w:shd w:val="clear" w:color="auto" w:fill="1fb8b8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Function</w:t>
            </w:r>
            <w:r/>
          </w:p>
        </w:tc>
      </w:tr>
      <w:tr>
        <w:trPr/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Safety MCU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6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STM32H523VE (Cortex-M33, 250 MHz, 512 KB Flash, 272 KB RAM)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17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UART4 + USB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Supervision, power sequencing, watchdog, real-time I/O, in-system DFU</w:t>
            </w:r>
            <w:r/>
          </w:p>
        </w:tc>
      </w:tr>
      <w:tr>
        <w:trPr/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Security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6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Infineon SLB9670 TPM 2.0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17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SPI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Hardware root of trust / secure boot</w:t>
            </w:r>
            <w:r/>
          </w:p>
        </w:tc>
      </w:tr>
      <w:tr>
        <w:trPr/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Board temp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6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On-board sensor + TEMP_ALERT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17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I2C / GPIO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Thermal monitoring</w:t>
            </w:r>
            <w:r/>
          </w:p>
        </w:tc>
      </w:tr>
    </w:tbl>
    <w:p>
      <w:pPr>
        <w:pBdr>
          <w:bottom w:val="single" w:color="1fb8b8" w:sz="6" w:space="2"/>
        </w:pBdr>
        <w:spacing w:after="140" w:before="280"/>
        <w:ind/>
        <w:rPr/>
      </w:pPr>
      <w:r>
        <w:rPr>
          <w:b/>
          <w:bCs/>
          <w:color w:val="1a1a1a"/>
          <w:sz w:val="26"/>
          <w:szCs w:val="26"/>
        </w:rPr>
        <w:t xml:space="preserve">COMMUNICATION INTERFACES</w:t>
      </w:r>
      <w:r/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100"/>
        <w:gridCol w:w="900"/>
        <w:gridCol w:w="6360"/>
      </w:tblGrid>
      <w:tr>
        <w:trPr>
          <w:tblHeader/>
        </w:trPr>
        <w:tc>
          <w:tcPr>
            <w:shd w:val="clear" w:color="auto" w:fill="1fb8b8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1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Interface</w:t>
            </w:r>
            <w:r/>
          </w:p>
        </w:tc>
        <w:tc>
          <w:tcPr>
            <w:shd w:val="clear" w:color="auto" w:fill="1fb8b8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9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Qty</w:t>
            </w:r>
            <w:r/>
          </w:p>
        </w:tc>
        <w:tc>
          <w:tcPr>
            <w:shd w:val="clear" w:color="auto" w:fill="1fb8b8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Details</w:t>
            </w:r>
            <w:r/>
          </w:p>
        </w:tc>
      </w:tr>
      <w:tr>
        <w:trPr/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1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1GBase-T Ethernet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9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5×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On-board KSZ9896 6-port managed GbE switch (RGMII to Orin EQOS, SPI managed); rugged RJ45, 10/100/1000Base-T, AutoMDIX</w:t>
            </w:r>
            <w:r/>
          </w:p>
        </w:tc>
      </w:tr>
      <w:tr>
        <w:trPr/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1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CAN-FD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9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2×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MCP2542FD transceivers, up to 8 Mb/s, 12 V/24 V systems; software standby; CAN/LIN TVS + common-mode choke; selectable termination via mounting option</w:t>
            </w:r>
            <w:r/>
          </w:p>
        </w:tc>
      </w:tr>
      <w:tr>
        <w:trPr/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1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RS-485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9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2×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Flexible-VIO transceivers, up to 20 Mb/s; ±30 kV ESD (IEC 61000-4-2/4/5) protected</w:t>
            </w:r>
            <w:r/>
          </w:p>
        </w:tc>
      </w:tr>
      <w:tr>
        <w:trPr/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1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USB 3.0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9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3×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Rugged Type-A, current-limited high-side switch, ESD-protected</w:t>
            </w:r>
            <w:r/>
          </w:p>
        </w:tc>
      </w:tr>
      <w:tr>
        <w:trPr/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1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HDMI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9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1×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CEC / DDC / HPD, ESD-protected (for debugging purpose)</w:t>
            </w:r>
            <w:r/>
          </w:p>
        </w:tc>
      </w:tr>
      <w:tr>
        <w:trPr/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1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MIPI-CSI / GMSL2 camera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9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4×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120-pin high-speed B2B (14 Gbps); 3× camera MCLK, I2C, 4× camera interrupts; GMSL2 via BSP overlay</w:t>
            </w:r>
            <w:r/>
          </w:p>
        </w:tc>
      </w:tr>
      <w:tr>
        <w:trPr/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1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Debug console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9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1×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UART (TX/RX)</w:t>
            </w:r>
            <w:r/>
          </w:p>
        </w:tc>
      </w:tr>
    </w:tbl>
    <w:p>
      <w:pPr>
        <w:pBdr>
          <w:bottom w:val="single" w:color="1fb8b8" w:sz="6" w:space="2"/>
        </w:pBdr>
        <w:spacing w:after="140" w:before="280"/>
        <w:ind/>
        <w:rPr/>
      </w:pPr>
      <w:r>
        <w:rPr>
          <w:b/>
          <w:bCs/>
          <w:color w:val="1a1a1a"/>
          <w:sz w:val="26"/>
          <w:szCs w:val="26"/>
        </w:rPr>
        <w:t xml:space="preserve">ANALOG &amp; DIGITAL I/O</w:t>
      </w:r>
      <w:r/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400"/>
        <w:gridCol w:w="6960"/>
      </w:tblGrid>
      <w:tr>
        <w:trPr>
          <w:tblHeader/>
        </w:trPr>
        <w:tc>
          <w:tcPr>
            <w:shd w:val="clear" w:color="auto" w:fill="1fb8b8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4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I/O</w:t>
            </w:r>
            <w:r/>
          </w:p>
        </w:tc>
        <w:tc>
          <w:tcPr>
            <w:shd w:val="clear" w:color="auto" w:fill="1fb8b8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9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Details</w:t>
            </w:r>
            <w:r/>
          </w:p>
        </w:tc>
      </w:tr>
      <w:tr>
        <w:trPr/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4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Analog inputs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9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Multiplexed (1:8 MUX) into quad rail-to-rail op-amps; TVS-protected front-end</w:t>
            </w:r>
            <w:r/>
          </w:p>
        </w:tc>
      </w:tr>
      <w:tr>
        <w:trPr/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4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Analog outputs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9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4× (AN_OUT[0..3]) via quad 10-bit SPI DAC, op-amp buffered</w:t>
            </w:r>
            <w:r/>
          </w:p>
        </w:tc>
      </w:tr>
      <w:tr>
        <w:trPr/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4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Digital I/O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9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Protected GPIO with high-/low-side power-MOSFET drivers, current sense (0.15 Ω), resettable fuses, TVS clamps</w:t>
            </w:r>
            <w:r/>
          </w:p>
        </w:tc>
      </w:tr>
      <w:tr>
        <w:trPr/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24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PWM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9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General-purpose PWM output + fan PWM/tach</w:t>
            </w:r>
            <w:r/>
          </w:p>
        </w:tc>
      </w:tr>
    </w:tbl>
    <w:p>
      <w:pPr>
        <w:pBdr/>
        <w:spacing w:after="120"/>
        <w:ind/>
        <w:rPr/>
      </w:pPr>
      <w:r>
        <w:rPr>
          <w:sz w:val="20"/>
          <w:szCs w:val="20"/>
        </w:rPr>
        <w:t xml:space="preserve">All field I/O routed through the single automotive terminal connector.</w:t>
      </w:r>
      <w:r/>
    </w:p>
    <w:p>
      <w:pPr>
        <w:pBdr>
          <w:bottom w:val="single" w:color="1fb8b8" w:sz="6" w:space="2"/>
        </w:pBdr>
        <w:spacing w:after="140" w:before="280"/>
        <w:ind/>
        <w:rPr/>
      </w:pPr>
      <w:r>
        <w:rPr>
          <w:b/>
          <w:bCs/>
          <w:color w:val="1a1a1a"/>
          <w:sz w:val="26"/>
          <w:szCs w:val="26"/>
        </w:rPr>
        <w:t xml:space="preserve">POWER CHARACTERISTICS</w:t>
      </w:r>
      <w:r/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00"/>
        <w:gridCol w:w="6360"/>
      </w:tblGrid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Input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Wide-range automotive DC, supports 12 V and 24 V systems</w:t>
            </w:r>
            <w:r/>
          </w:p>
        </w:tc>
      </w:tr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Transient protection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LM74810 ideal-diode controller — load-dump protection, ISO 7637 / LV 124, transient clamp to 65 V</w:t>
            </w:r>
            <w:r/>
          </w:p>
        </w:tc>
      </w:tr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Reverse polarity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Protected</w:t>
            </w:r>
            <w:r/>
          </w:p>
        </w:tc>
      </w:tr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Input fuse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15 A fast (72 VDC rated)</w:t>
            </w:r>
            <w:r/>
          </w:p>
        </w:tc>
      </w:tr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Internal rails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VSYS, 12 V, 5 V, 3.3 V, 2.5 V, 1.8 V, 1.2 V</w:t>
            </w:r>
            <w:r/>
          </w:p>
        </w:tc>
      </w:tr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Auxiliary output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>
                <w:b w:val="0"/>
                <w:bCs w:val="0"/>
                <w:color w:val="000000"/>
                <w:sz w:val="18"/>
                <w:szCs w:val="18"/>
                <w:highlight w:val="none"/>
              </w:rPr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+5V (500mA PPTC-fused) for sensors</w:t>
            </w:r>
            <w:r>
              <w:rPr>
                <w:b w:val="0"/>
                <w:bCs w:val="0"/>
                <w:color w:val="000000"/>
                <w:sz w:val="18"/>
                <w:szCs w:val="18"/>
                <w:highlight w:val="none"/>
              </w:rPr>
            </w:r>
            <w:r>
              <w:rPr>
                <w:b w:val="0"/>
                <w:bCs w:val="0"/>
                <w:color w:val="000000"/>
                <w:sz w:val="18"/>
                <w:szCs w:val="18"/>
                <w:highlight w:val="none"/>
              </w:rPr>
            </w:r>
          </w:p>
          <w:p w14:paraId="14878027"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  <w:highlight w:val="none"/>
              </w:rPr>
              <w:t xml:space="preserve">VSYS (500m</w:t>
            </w: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 PPTC-fused</w:t>
            </w:r>
            <w:r>
              <w:rPr>
                <w:b w:val="0"/>
                <w:bCs w:val="0"/>
                <w:color w:val="000000"/>
                <w:sz w:val="18"/>
                <w:szCs w:val="18"/>
                <w:highlight w:val="none"/>
              </w:rPr>
              <w:t xml:space="preserve">)</w:t>
            </w:r>
            <w:r>
              <w:rPr>
                <w:b w:val="0"/>
                <w:bCs w:val="0"/>
                <w:color w:val="000000"/>
                <w:sz w:val="18"/>
                <w:szCs w:val="18"/>
                <w:highlight w:val="none"/>
              </w:rPr>
            </w:r>
            <w:r/>
          </w:p>
        </w:tc>
      </w:tr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Boost converter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TPS55330 (generates 12 V rail)</w:t>
            </w:r>
            <w:r/>
          </w:p>
        </w:tc>
      </w:tr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Operating input range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Contact iNDUSTREAL (application-dependent)</w:t>
            </w:r>
            <w:r/>
          </w:p>
        </w:tc>
      </w:tr>
    </w:tbl>
    <w:p>
      <w:pPr>
        <w:pBdr>
          <w:bottom w:val="single" w:color="1fb8b8" w:sz="6" w:space="2"/>
        </w:pBdr>
        <w:spacing w:after="140" w:before="280"/>
        <w:ind/>
        <w:rPr/>
      </w:pPr>
      <w:r>
        <w:rPr>
          <w:b/>
          <w:bCs/>
          <w:color w:val="1a1a1a"/>
          <w:sz w:val="26"/>
          <w:szCs w:val="26"/>
        </w:rPr>
        <w:t xml:space="preserve">MECHANICAL &amp; ENVIRONMENTAL</w:t>
      </w:r>
      <w:r/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00"/>
        <w:gridCol w:w="6360"/>
      </w:tblGrid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Main connector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MOLEX CMC automotive header, 48-pin, right-angle, sealed, -40 °C rated</w:t>
            </w:r>
            <w:r/>
          </w:p>
        </w:tc>
      </w:tr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Housing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Industrial / automotive enclosure</w:t>
            </w:r>
            <w:r/>
          </w:p>
        </w:tc>
      </w:tr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Cooling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Passive (reduced temp. range), Active (fan), temperature-monitored, throttling supported</w:t>
            </w:r>
            <w:r/>
          </w:p>
        </w:tc>
      </w:tr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Operating temperature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Per module: Commercial / Industrial (-40 … +85 °C with Industrial Orin)</w:t>
            </w:r>
            <w:r/>
          </w:p>
        </w:tc>
      </w:tr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Connectors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Rugged RJ45, USB 3.0 Type-A, HDMI (rated -40 … +105 °C)</w:t>
            </w:r>
            <w:r/>
          </w:p>
        </w:tc>
      </w:tr>
      <w:tr>
        <w:trPr/>
        <w:tc>
          <w:tcPr>
            <w:shd w:val="clear" w:color="auto" w:fill="f0f4f4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30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Dimensions / weight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63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265.75 x 183.9 x 49.2 (WxHxD),</w:t>
            </w:r>
            <w:r>
              <w:rPr>
                <w:b w:val="0"/>
                <w:bCs w:val="0"/>
                <w:color w:val="000000"/>
                <w:sz w:val="18"/>
                <w:szCs w:val="18"/>
              </w:rPr>
            </w:r>
            <w:r/>
          </w:p>
        </w:tc>
      </w:tr>
    </w:tbl>
    <w:p>
      <w:pPr>
        <w:pBdr>
          <w:bottom w:val="single" w:color="1fb8b8" w:sz="6" w:space="2"/>
        </w:pBdr>
        <w:spacing w:after="140" w:before="280"/>
        <w:ind/>
        <w:rPr/>
      </w:pPr>
      <w:r>
        <w:rPr>
          <w:b/>
          <w:bCs/>
          <w:color w:val="1a1a1a"/>
          <w:sz w:val="26"/>
          <w:szCs w:val="26"/>
        </w:rPr>
        <w:t xml:space="preserve">SOFTWARE SUPPORT</w:t>
      </w:r>
      <w:r/>
    </w:p>
    <w:p>
      <w:pPr>
        <w:pBdr/>
        <w:spacing w:after="120"/>
        <w:ind/>
        <w:rPr/>
      </w:pPr>
      <w:r>
        <w:rPr>
          <w:sz w:val="20"/>
          <w:szCs w:val="20"/>
        </w:rPr>
        <w:t xml:space="preserve">Ships with a complete Linux BSP and board support package for PCBA-FSI-VCU-01:</w:t>
      </w:r>
      <w:r/>
    </w:p>
    <w:p>
      <w:pPr>
        <w:pStyle w:val="899"/>
        <w:numPr>
          <w:ilvl w:val="0"/>
          <w:numId w:val="2"/>
        </w:numPr>
        <w:pBdr/>
        <w:spacing w:after="40"/>
        <w:ind/>
        <w:rPr/>
      </w:pPr>
      <w:r>
        <w:rPr>
          <w:sz w:val="20"/>
          <w:szCs w:val="20"/>
        </w:rPr>
        <w:t xml:space="preserve">Tested NVIDIA JetPacks:</w:t>
      </w:r>
      <w:r/>
    </w:p>
    <w:p w14:paraId="5AC0213B">
      <w:pPr>
        <w:pStyle w:val="899"/>
        <w:numPr>
          <w:ilvl w:val="4"/>
          <w:numId w:val="2"/>
        </w:numPr>
        <w:pBdr/>
        <w:spacing w:after="40"/>
        <w:ind/>
        <w:rPr/>
      </w:pPr>
      <w:r>
        <w:rPr>
          <w:sz w:val="20"/>
          <w:szCs w:val="20"/>
          <w:highlight w:val="none"/>
        </w:rPr>
        <w:t xml:space="preserve">                  </w:t>
      </w:r>
      <w:r>
        <w:rPr>
          <w:sz w:val="20"/>
          <w:szCs w:val="20"/>
          <w:highlight w:val="none"/>
        </w:rPr>
        <w:t xml:space="preserve">JetPack 6.2.1/Jetson Linux 36.4.4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/>
    </w:p>
    <w:p w14:paraId="23FDC411">
      <w:pPr>
        <w:pStyle w:val="899"/>
        <w:numPr>
          <w:ilvl w:val="6"/>
          <w:numId w:val="2"/>
        </w:numPr>
        <w:pBdr/>
        <w:spacing w:after="40"/>
        <w:ind/>
        <w:rPr/>
      </w:pPr>
      <w:r>
        <w:rPr>
          <w:sz w:val="20"/>
          <w:szCs w:val="20"/>
          <w:highlight w:val="none"/>
        </w:rPr>
        <w:t xml:space="preserve">                  </w:t>
      </w:r>
      <w:r>
        <w:rPr>
          <w:sz w:val="20"/>
          <w:szCs w:val="20"/>
          <w:highlight w:val="none"/>
        </w:rPr>
        <w:t xml:space="preserve">JetPack 7.2/Jetson Linux 39.2</w:t>
      </w:r>
      <w:r>
        <w:rPr>
          <w:sz w:val="20"/>
          <w:szCs w:val="20"/>
          <w:highlight w:val="none"/>
        </w:rPr>
      </w:r>
      <w:r/>
    </w:p>
    <w:p w14:paraId="01A3A84B">
      <w:pPr>
        <w:pStyle w:val="899"/>
        <w:numPr>
          <w:ilvl w:val="6"/>
          <w:numId w:val="2"/>
        </w:numPr>
        <w:pBdr/>
        <w:spacing w:after="40"/>
        <w:ind/>
        <w:rPr/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99"/>
        <w:numPr>
          <w:ilvl w:val="0"/>
          <w:numId w:val="2"/>
        </w:numPr>
        <w:pBdr/>
        <w:spacing w:after="40"/>
        <w:ind/>
        <w:rPr/>
      </w:pPr>
      <w:r>
        <w:rPr>
          <w:sz w:val="20"/>
          <w:szCs w:val="20"/>
        </w:rPr>
        <w:t xml:space="preserve">Board-specific MB1 BCT pinmux, GPIO and pad-voltage device trees</w:t>
      </w:r>
      <w:r/>
    </w:p>
    <w:p>
      <w:pPr>
        <w:pStyle w:val="899"/>
        <w:numPr>
          <w:ilvl w:val="0"/>
          <w:numId w:val="2"/>
        </w:numPr>
        <w:pBdr/>
        <w:spacing w:after="40"/>
        <w:ind/>
        <w:rPr/>
      </w:pPr>
      <w:r>
        <w:rPr>
          <w:sz w:val="20"/>
          <w:szCs w:val="20"/>
        </w:rPr>
        <w:t xml:space="preserve">Flashing configuration (fsi-vcu-01.conf) with EEPROM-less board ID bypass</w:t>
      </w:r>
      <w:r/>
    </w:p>
    <w:p>
      <w:pPr>
        <w:pStyle w:val="899"/>
        <w:numPr>
          <w:ilvl w:val="0"/>
          <w:numId w:val="2"/>
        </w:numPr>
        <w:pBdr/>
        <w:spacing w:after="40"/>
        <w:ind/>
        <w:rPr/>
      </w:pPr>
      <w:r>
        <w:rPr>
          <w:sz w:val="20"/>
          <w:szCs w:val="20"/>
        </w:rPr>
        <w:t xml:space="preserve">Reference examples: dual CAN-FD, dual RS-485, Ethernet switch management, STM32 MCU communication, MIPI-CSI / GMSL2 camera, analog/digital I/O</w:t>
      </w:r>
      <w:r/>
    </w:p>
    <w:p>
      <w:pPr>
        <w:pStyle w:val="899"/>
        <w:numPr>
          <w:ilvl w:val="0"/>
          <w:numId w:val="2"/>
        </w:numPr>
        <w:pBdr/>
        <w:spacing w:after="40"/>
        <w:ind/>
        <w:rPr/>
      </w:pPr>
      <w:r>
        <w:rPr>
          <w:sz w:val="20"/>
          <w:szCs w:val="20"/>
        </w:rPr>
        <w:t xml:space="preserve">AI model deployment via Orin GPU / DLA</w:t>
      </w:r>
      <w:r/>
    </w:p>
    <w:p>
      <w:pPr>
        <w:pBdr/>
        <w:spacing w:after="120" w:before="80"/>
        <w:ind/>
        <w:rPr/>
      </w:pPr>
      <w:r>
        <w:rPr>
          <w:b/>
          <w:bCs/>
          <w:sz w:val="20"/>
          <w:szCs w:val="20"/>
        </w:rPr>
        <w:t xml:space="preserve">GitHub URL: </w:t>
      </w:r>
      <w:r>
        <w:rPr>
          <w:sz w:val="20"/>
          <w:szCs w:val="20"/>
          <w:highlight w:val="yellow"/>
        </w:rPr>
        <w:t xml:space="preserve">TBD</w:t>
      </w:r>
      <w:r/>
    </w:p>
    <w:p>
      <w:pPr>
        <w:pBdr>
          <w:bottom w:val="single" w:color="1fb8b8" w:sz="6" w:space="2"/>
        </w:pBdr>
        <w:spacing w:after="140" w:before="280"/>
        <w:ind/>
        <w:rPr/>
      </w:pPr>
      <w:r>
        <w:rPr>
          <w:b/>
          <w:bCs/>
          <w:color w:val="1a1a1a"/>
          <w:sz w:val="26"/>
          <w:szCs w:val="26"/>
        </w:rPr>
        <w:t xml:space="preserve">ORDER CODE</w:t>
      </w:r>
      <w:r/>
    </w:p>
    <w:p>
      <w:pPr>
        <w:pBdr/>
        <w:spacing w:after="120"/>
        <w:ind/>
        <w:rPr/>
      </w:pPr>
      <w:r>
        <w:rPr>
          <w:b/>
          <w:bCs/>
          <w:color w:val="1a1a1a"/>
          <w:sz w:val="22"/>
          <w:szCs w:val="22"/>
        </w:rPr>
        <w:t xml:space="preserve">iR.VCU.&lt;MEM&gt;</w:t>
      </w:r>
      <w:r/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800"/>
        <w:gridCol w:w="7560"/>
      </w:tblGrid>
      <w:tr>
        <w:trPr>
          <w:tblHeader/>
        </w:trPr>
        <w:tc>
          <w:tcPr>
            <w:shd w:val="clear" w:color="auto" w:fill="1fb8b8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18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Code</w:t>
            </w:r>
            <w:r/>
          </w:p>
        </w:tc>
        <w:tc>
          <w:tcPr>
            <w:shd w:val="clear" w:color="auto" w:fill="1fb8b8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75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Meaning</w:t>
            </w:r>
            <w:r/>
          </w:p>
        </w:tc>
      </w:tr>
      <w:tr>
        <w:trPr/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18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32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75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Jetson AGX Orin 32 GB (P3701-0004)</w:t>
            </w:r>
            <w:r/>
          </w:p>
        </w:tc>
      </w:tr>
      <w:tr>
        <w:trPr/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18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64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75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Jetson AGX Orin 64 GB (P3701-0005)</w:t>
            </w:r>
            <w:r/>
          </w:p>
        </w:tc>
      </w:tr>
      <w:tr>
        <w:trPr/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180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64I</w:t>
            </w:r>
            <w:r/>
          </w:p>
        </w:tc>
        <w:tc>
          <w:tcPr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left w:w="120" w:type="dxa"/>
              <w:top w:w="60" w:type="dxa"/>
              <w:right w:w="120" w:type="dxa"/>
              <w:bottom w:w="60" w:type="dxa"/>
            </w:tcMar>
            <w:tcW w:w="7560" w:type="dxa"/>
            <w:vAlign w:val="center"/>
          </w:tcPr>
          <w:p>
            <w:pPr>
              <w:pBdr/>
              <w:spacing/>
              <w:ind/>
              <w:rPr/>
            </w:pPr>
            <w:r>
              <w:rPr>
                <w:b w:val="0"/>
                <w:bCs w:val="0"/>
                <w:color w:val="000000"/>
                <w:sz w:val="18"/>
                <w:szCs w:val="18"/>
              </w:rPr>
              <w:t xml:space="preserve">Jetson AGX Orin Industrial 64 GB</w:t>
            </w:r>
            <w:r/>
          </w:p>
        </w:tc>
      </w:tr>
    </w:tbl>
    <w:p>
      <w:pPr>
        <w:pBdr/>
        <w:spacing w:before="240"/>
        <w:ind/>
        <w:rPr/>
      </w:pPr>
      <w:r>
        <w:rPr>
          <w:i/>
          <w:iCs/>
          <w:color w:val="888888"/>
          <w:sz w:val="16"/>
          <w:szCs w:val="16"/>
        </w:rPr>
        <w:t xml:space="preserve">All data for information purposes only. Subject to change without notice. © iNDUSTREAL</w:t>
      </w:r>
      <w:r/>
    </w:p>
    <w:sectPr>
      <w:footerReference w:type="default" r:id="rId9"/>
      <w:footnotePr/>
      <w:endnotePr/>
      <w:type w:val="nextPage"/>
      <w:pgSz w:h="15840" w:orient="portrait" w:w="12240"/>
      <w:pgMar w:top="1080" w:right="1440" w:bottom="1080" w:left="1440" w:header="708" w:footer="708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center"/>
      <w:rPr/>
    </w:pPr>
    <w:r>
      <w:rPr>
        <w:b/>
        <w:bCs/>
        <w:color w:val="1fb8b8"/>
        <w:sz w:val="16"/>
        <w:szCs w:val="16"/>
      </w:rPr>
      <w:t xml:space="preserve">WWW.INDUSTREAL.TECH</w:t>
    </w:r>
    <w:r>
      <w:rPr>
        <w:color w:val="888888"/>
        <w:sz w:val="14"/>
        <w:szCs w:val="14"/>
      </w:rPr>
      <w:t xml:space="preserve">          IR.VCU-V0.7          Page </w:t>
    </w:r>
    <w:r>
      <w:rPr>
        <w:color w:val="888888"/>
        <w:sz w:val="14"/>
        <w:szCs w:val="14"/>
      </w:rPr>
      <w:fldChar w:fldCharType="begin"/>
      <w:instrText xml:space="preserve">PAGE</w:instrText>
      <w:fldChar w:fldCharType="separate"/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●"/>
      <w:numFmt w:val="bullet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/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/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●"/>
      <w:numFmt w:val="bullet"/>
      <w:pPr>
        <w:pBdr/>
        <w:spacing/>
        <w:ind w:hanging="360" w:left="5760"/>
      </w:pPr>
      <w:rPr/>
      <w:start w:val="1"/>
      <w:suff w:val="tab"/>
    </w:lvl>
    <w:lvl w:ilvl="8">
      <w:isLgl w:val="false"/>
      <w:lvlJc w:val="left"/>
      <w:lvlText w:val="●"/>
      <w:numFmt w:val="bullet"/>
      <w:pPr>
        <w:pBdr/>
        <w:spacing/>
        <w:ind w:hanging="36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•"/>
      <w:numFmt w:val="bullet"/>
      <w:pPr>
        <w:pBdr/>
        <w:spacing/>
        <w:ind w:hanging="260" w:left="52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Table Grid"/>
    <w:basedOn w:val="71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Table Grid Light"/>
    <w:basedOn w:val="71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1"/>
    <w:basedOn w:val="71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2"/>
    <w:basedOn w:val="71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3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4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Plain Table 5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1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2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 - Accent 3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 - Accent 4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 - Accent 5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 - Accent 6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1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2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 - Accent 3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 - Accent 4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 - Accent 5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 - Accent 6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1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2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 - Accent 3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 - Accent 4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- Accent 5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- Accent 6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"/>
    <w:basedOn w:val="7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1"/>
    <w:basedOn w:val="7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2"/>
    <w:basedOn w:val="7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 - Accent 3"/>
    <w:basedOn w:val="7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 - Accent 4"/>
    <w:basedOn w:val="7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5"/>
    <w:basedOn w:val="7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- Accent 6"/>
    <w:basedOn w:val="7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- Accent 1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 - Accent 2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 - Accent 3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- Accent 4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 - Accent 5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 - Accent 6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1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2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 - Accent 3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 - Accent 4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5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- Accent 6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1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2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 - Accent 3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 - Accent 4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5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- Accent 6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1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2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 - Accent 3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 - Accent 4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5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 - Accent 6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1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2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 - Accent 3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 - Accent 4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- Accent 5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6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1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2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 - Accent 3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 - Accent 4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5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6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1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2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 - Accent 3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 - Accent 4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5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6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1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2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 - Accent 3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 - Accent 4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5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6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1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2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3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 - Accent 4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5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6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1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2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3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4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5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6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"/>
    <w:basedOn w:val="7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1"/>
    <w:basedOn w:val="7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2"/>
    <w:basedOn w:val="7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ned - Accent 3"/>
    <w:basedOn w:val="7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ned - Accent 4"/>
    <w:basedOn w:val="7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 5"/>
    <w:basedOn w:val="7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 6"/>
    <w:basedOn w:val="7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"/>
    <w:basedOn w:val="7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1"/>
    <w:basedOn w:val="7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2"/>
    <w:basedOn w:val="7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&amp; Lined - Accent 3"/>
    <w:basedOn w:val="7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 4"/>
    <w:basedOn w:val="7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 5"/>
    <w:basedOn w:val="7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 6"/>
    <w:basedOn w:val="7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1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2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- Accent 3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- Accent 4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- Accent 5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- Accent 6"/>
    <w:basedOn w:val="7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4" w:default="1">
    <w:name w:val="Normal"/>
    <w:qFormat/>
    <w:pPr>
      <w:pBdr/>
      <w:spacing/>
      <w:ind/>
    </w:pPr>
  </w:style>
  <w:style w:type="paragraph" w:styleId="845">
    <w:name w:val="Heading 7"/>
    <w:basedOn w:val="844"/>
    <w:next w:val="844"/>
    <w:link w:val="8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6">
    <w:name w:val="Heading 8"/>
    <w:basedOn w:val="844"/>
    <w:next w:val="844"/>
    <w:link w:val="8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7">
    <w:name w:val="Heading 9"/>
    <w:basedOn w:val="844"/>
    <w:next w:val="844"/>
    <w:link w:val="8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8" w:default="1">
    <w:name w:val="Default Paragraph Font"/>
    <w:uiPriority w:val="1"/>
    <w:semiHidden/>
    <w:unhideWhenUsed/>
    <w:pPr>
      <w:pBdr/>
      <w:spacing/>
      <w:ind/>
    </w:pPr>
  </w:style>
  <w:style w:type="numbering" w:styleId="849" w:default="1">
    <w:name w:val="No List"/>
    <w:uiPriority w:val="99"/>
    <w:semiHidden/>
    <w:unhideWhenUsed/>
    <w:pPr>
      <w:pBdr/>
      <w:spacing/>
      <w:ind/>
    </w:pPr>
  </w:style>
  <w:style w:type="character" w:styleId="850">
    <w:name w:val="Heading 1 Char"/>
    <w:basedOn w:val="848"/>
    <w:link w:val="8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1">
    <w:name w:val="Heading 2 Char"/>
    <w:basedOn w:val="848"/>
    <w:link w:val="8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2">
    <w:name w:val="Heading 3 Char"/>
    <w:basedOn w:val="848"/>
    <w:link w:val="8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3">
    <w:name w:val="Heading 4 Char"/>
    <w:basedOn w:val="848"/>
    <w:link w:val="89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4">
    <w:name w:val="Heading 5 Char"/>
    <w:basedOn w:val="848"/>
    <w:link w:val="8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5">
    <w:name w:val="Heading 6 Char"/>
    <w:basedOn w:val="848"/>
    <w:link w:val="89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6">
    <w:name w:val="Heading 7 Char"/>
    <w:basedOn w:val="848"/>
    <w:link w:val="8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7">
    <w:name w:val="Heading 8 Char"/>
    <w:basedOn w:val="848"/>
    <w:link w:val="8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8">
    <w:name w:val="Heading 9 Char"/>
    <w:basedOn w:val="848"/>
    <w:link w:val="8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9">
    <w:name w:val="Title Char"/>
    <w:basedOn w:val="848"/>
    <w:link w:val="89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0">
    <w:name w:val="Subtitle"/>
    <w:basedOn w:val="844"/>
    <w:next w:val="844"/>
    <w:link w:val="8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1">
    <w:name w:val="Subtitle Char"/>
    <w:basedOn w:val="848"/>
    <w:link w:val="8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2">
    <w:name w:val="Quote"/>
    <w:basedOn w:val="844"/>
    <w:next w:val="844"/>
    <w:link w:val="8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3">
    <w:name w:val="Quote Char"/>
    <w:basedOn w:val="848"/>
    <w:link w:val="8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4">
    <w:name w:val="Intense Emphasis"/>
    <w:basedOn w:val="8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5">
    <w:name w:val="Intense Quote"/>
    <w:basedOn w:val="844"/>
    <w:next w:val="844"/>
    <w:link w:val="86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6">
    <w:name w:val="Intense Quote Char"/>
    <w:basedOn w:val="848"/>
    <w:link w:val="86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7">
    <w:name w:val="Intense Reference"/>
    <w:basedOn w:val="8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8">
    <w:name w:val="No Spacing"/>
    <w:basedOn w:val="844"/>
    <w:uiPriority w:val="1"/>
    <w:qFormat/>
    <w:pPr>
      <w:pBdr/>
      <w:spacing w:after="0" w:line="240" w:lineRule="auto"/>
      <w:ind/>
    </w:pPr>
  </w:style>
  <w:style w:type="character" w:styleId="869">
    <w:name w:val="Subtle Emphasis"/>
    <w:basedOn w:val="8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0">
    <w:name w:val="Emphasis"/>
    <w:basedOn w:val="848"/>
    <w:uiPriority w:val="20"/>
    <w:qFormat/>
    <w:pPr>
      <w:pBdr/>
      <w:spacing/>
      <w:ind/>
    </w:pPr>
    <w:rPr>
      <w:i/>
      <w:iCs/>
    </w:rPr>
  </w:style>
  <w:style w:type="character" w:styleId="871">
    <w:name w:val="Subtle Reference"/>
    <w:basedOn w:val="8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2">
    <w:name w:val="Book Title"/>
    <w:basedOn w:val="8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3">
    <w:name w:val="Header"/>
    <w:basedOn w:val="844"/>
    <w:link w:val="87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4">
    <w:name w:val="Header Char"/>
    <w:basedOn w:val="848"/>
    <w:link w:val="873"/>
    <w:uiPriority w:val="99"/>
    <w:pPr>
      <w:pBdr/>
      <w:spacing/>
      <w:ind/>
    </w:pPr>
  </w:style>
  <w:style w:type="paragraph" w:styleId="875">
    <w:name w:val="Footer"/>
    <w:basedOn w:val="844"/>
    <w:link w:val="8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6">
    <w:name w:val="Footer Char"/>
    <w:basedOn w:val="848"/>
    <w:link w:val="875"/>
    <w:uiPriority w:val="99"/>
    <w:pPr>
      <w:pBdr/>
      <w:spacing/>
      <w:ind/>
    </w:pPr>
  </w:style>
  <w:style w:type="paragraph" w:styleId="877">
    <w:name w:val="Caption"/>
    <w:basedOn w:val="844"/>
    <w:next w:val="84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878">
    <w:name w:val="FollowedHyperlink"/>
    <w:basedOn w:val="8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44"/>
    <w:next w:val="844"/>
    <w:uiPriority w:val="39"/>
    <w:unhideWhenUsed/>
    <w:pPr>
      <w:pBdr/>
      <w:spacing w:after="100"/>
      <w:ind/>
    </w:pPr>
  </w:style>
  <w:style w:type="paragraph" w:styleId="880">
    <w:name w:val="toc 2"/>
    <w:basedOn w:val="844"/>
    <w:next w:val="844"/>
    <w:uiPriority w:val="39"/>
    <w:unhideWhenUsed/>
    <w:pPr>
      <w:pBdr/>
      <w:spacing w:after="100"/>
      <w:ind w:left="220"/>
    </w:pPr>
  </w:style>
  <w:style w:type="paragraph" w:styleId="881">
    <w:name w:val="toc 3"/>
    <w:basedOn w:val="844"/>
    <w:next w:val="844"/>
    <w:uiPriority w:val="39"/>
    <w:unhideWhenUsed/>
    <w:pPr>
      <w:pBdr/>
      <w:spacing w:after="100"/>
      <w:ind w:left="440"/>
    </w:pPr>
  </w:style>
  <w:style w:type="paragraph" w:styleId="882">
    <w:name w:val="toc 4"/>
    <w:basedOn w:val="844"/>
    <w:next w:val="844"/>
    <w:uiPriority w:val="39"/>
    <w:unhideWhenUsed/>
    <w:pPr>
      <w:pBdr/>
      <w:spacing w:after="100"/>
      <w:ind w:left="660"/>
    </w:pPr>
  </w:style>
  <w:style w:type="paragraph" w:styleId="883">
    <w:name w:val="toc 5"/>
    <w:basedOn w:val="844"/>
    <w:next w:val="844"/>
    <w:uiPriority w:val="39"/>
    <w:unhideWhenUsed/>
    <w:pPr>
      <w:pBdr/>
      <w:spacing w:after="100"/>
      <w:ind w:left="880"/>
    </w:pPr>
  </w:style>
  <w:style w:type="paragraph" w:styleId="884">
    <w:name w:val="toc 6"/>
    <w:basedOn w:val="844"/>
    <w:next w:val="844"/>
    <w:uiPriority w:val="39"/>
    <w:unhideWhenUsed/>
    <w:pPr>
      <w:pBdr/>
      <w:spacing w:after="100"/>
      <w:ind w:left="1100"/>
    </w:pPr>
  </w:style>
  <w:style w:type="paragraph" w:styleId="885">
    <w:name w:val="toc 7"/>
    <w:basedOn w:val="844"/>
    <w:next w:val="844"/>
    <w:uiPriority w:val="39"/>
    <w:unhideWhenUsed/>
    <w:pPr>
      <w:pBdr/>
      <w:spacing w:after="100"/>
      <w:ind w:left="1320"/>
    </w:pPr>
  </w:style>
  <w:style w:type="paragraph" w:styleId="886">
    <w:name w:val="toc 8"/>
    <w:basedOn w:val="844"/>
    <w:next w:val="844"/>
    <w:uiPriority w:val="39"/>
    <w:unhideWhenUsed/>
    <w:pPr>
      <w:pBdr/>
      <w:spacing w:after="100"/>
      <w:ind w:left="1540"/>
    </w:pPr>
  </w:style>
  <w:style w:type="paragraph" w:styleId="887">
    <w:name w:val="toc 9"/>
    <w:basedOn w:val="844"/>
    <w:next w:val="844"/>
    <w:uiPriority w:val="39"/>
    <w:unhideWhenUsed/>
    <w:pPr>
      <w:pBdr/>
      <w:spacing w:after="100"/>
      <w:ind w:left="1760"/>
    </w:pPr>
  </w:style>
  <w:style w:type="character" w:styleId="888">
    <w:name w:val="Placeholder Text"/>
    <w:basedOn w:val="848"/>
    <w:uiPriority w:val="99"/>
    <w:semiHidden/>
    <w:pPr>
      <w:pBdr/>
      <w:spacing/>
      <w:ind/>
    </w:pPr>
    <w:rPr>
      <w:color w:val="666666"/>
    </w:r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44"/>
    <w:next w:val="844"/>
    <w:uiPriority w:val="99"/>
    <w:unhideWhenUsed/>
    <w:pPr>
      <w:pBdr/>
      <w:spacing w:after="0" w:afterAutospacing="0"/>
      <w:ind/>
    </w:pPr>
  </w:style>
  <w:style w:type="paragraph" w:styleId="891">
    <w:name w:val="Title"/>
    <w:qFormat/>
    <w:pPr>
      <w:pBdr/>
      <w:spacing/>
      <w:ind/>
    </w:pPr>
    <w:rPr>
      <w:sz w:val="56"/>
      <w:szCs w:val="56"/>
    </w:rPr>
  </w:style>
  <w:style w:type="paragraph" w:styleId="892">
    <w:name w:val="Heading 1"/>
    <w:qFormat/>
    <w:pPr>
      <w:pBdr/>
      <w:spacing/>
      <w:ind/>
    </w:pPr>
    <w:rPr>
      <w:color w:val="2e74b5"/>
      <w:sz w:val="32"/>
      <w:szCs w:val="32"/>
    </w:rPr>
  </w:style>
  <w:style w:type="paragraph" w:styleId="893">
    <w:name w:val="Heading 2"/>
    <w:qFormat/>
    <w:pPr>
      <w:pBdr/>
      <w:spacing/>
      <w:ind/>
    </w:pPr>
    <w:rPr>
      <w:color w:val="2e74b5"/>
      <w:sz w:val="26"/>
      <w:szCs w:val="26"/>
    </w:rPr>
  </w:style>
  <w:style w:type="paragraph" w:styleId="894">
    <w:name w:val="Heading 3"/>
    <w:qFormat/>
    <w:pPr>
      <w:pBdr/>
      <w:spacing/>
      <w:ind/>
    </w:pPr>
    <w:rPr>
      <w:color w:val="1f4d78"/>
      <w:sz w:val="24"/>
      <w:szCs w:val="24"/>
    </w:rPr>
  </w:style>
  <w:style w:type="paragraph" w:styleId="895">
    <w:name w:val="Heading 4"/>
    <w:qFormat/>
    <w:pPr>
      <w:pBdr/>
      <w:spacing/>
      <w:ind/>
    </w:pPr>
    <w:rPr>
      <w:i/>
      <w:iCs/>
      <w:color w:val="2e74b5"/>
    </w:rPr>
  </w:style>
  <w:style w:type="paragraph" w:styleId="896">
    <w:name w:val="Heading 5"/>
    <w:qFormat/>
    <w:pPr>
      <w:pBdr/>
      <w:spacing/>
      <w:ind/>
    </w:pPr>
    <w:rPr>
      <w:color w:val="2e74b5"/>
    </w:rPr>
  </w:style>
  <w:style w:type="paragraph" w:styleId="897">
    <w:name w:val="Heading 6"/>
    <w:qFormat/>
    <w:pPr>
      <w:pBdr/>
      <w:spacing/>
      <w:ind/>
    </w:pPr>
    <w:rPr>
      <w:color w:val="1f4d78"/>
    </w:rPr>
  </w:style>
  <w:style w:type="paragraph" w:styleId="898">
    <w:name w:val="Strong"/>
    <w:qFormat/>
    <w:pPr>
      <w:pBdr/>
      <w:spacing/>
      <w:ind/>
    </w:pPr>
    <w:rPr>
      <w:b/>
      <w:bCs/>
    </w:rPr>
  </w:style>
  <w:style w:type="paragraph" w:styleId="899">
    <w:name w:val="List Paragraph"/>
    <w:qFormat/>
    <w:pPr>
      <w:pBdr/>
      <w:spacing/>
      <w:ind/>
    </w:pPr>
  </w:style>
  <w:style w:type="character" w:styleId="900">
    <w:name w:val="Hyperlink"/>
    <w:uiPriority w:val="99"/>
    <w:unhideWhenUsed/>
    <w:pPr>
      <w:pBdr/>
      <w:spacing/>
      <w:ind/>
    </w:pPr>
    <w:rPr>
      <w:color w:val="0563c1"/>
      <w:u w:val="single"/>
    </w:rPr>
  </w:style>
  <w:style w:type="character" w:styleId="901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02">
    <w:name w:val="footnote text"/>
    <w:link w:val="90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3">
    <w:name w:val="Footnote Text Char"/>
    <w:link w:val="902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04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05">
    <w:name w:val="endnote text"/>
    <w:link w:val="90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6">
    <w:name w:val="Endnote Text Char"/>
    <w:link w:val="905"/>
    <w:uiPriority w:val="99"/>
    <w:semiHidden/>
    <w:unhideWhenUsed/>
    <w:pPr>
      <w:pBdr/>
      <w:spacing/>
      <w:ind/>
    </w:pPr>
    <w:rPr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onlyoffice/9.3.1.10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Daniel Martonicz</cp:lastModifiedBy>
  <cp:revision>5</cp:revision>
  <dcterms:created xsi:type="dcterms:W3CDTF">2026-06-13T10:03:15Z</dcterms:created>
  <dcterms:modified xsi:type="dcterms:W3CDTF">2026-06-22T16:03:53Z</dcterms:modified>
</cp:coreProperties>
</file>